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 xml:space="preserve">Pielikums </w:t>
      </w:r>
    </w:p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>Ministru kabineta rīkojuma projekta “</w:t>
      </w:r>
      <w:r w:rsidR="00A670A3">
        <w:rPr>
          <w:rFonts w:ascii="Times New Roman" w:hAnsi="Times New Roman" w:cs="Times New Roman"/>
          <w:i/>
          <w:sz w:val="20"/>
          <w:szCs w:val="20"/>
        </w:rPr>
        <w:t xml:space="preserve">Par </w:t>
      </w:r>
      <w:r w:rsidRPr="00A670A3">
        <w:rPr>
          <w:rFonts w:ascii="Times New Roman" w:hAnsi="Times New Roman" w:cs="Times New Roman"/>
          <w:i/>
          <w:sz w:val="20"/>
          <w:szCs w:val="20"/>
        </w:rPr>
        <w:t xml:space="preserve">Valsts robežsardzes </w:t>
      </w:r>
    </w:p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>amatperson</w:t>
      </w:r>
      <w:r w:rsidR="00A670A3">
        <w:rPr>
          <w:rFonts w:ascii="Times New Roman" w:hAnsi="Times New Roman" w:cs="Times New Roman"/>
          <w:i/>
          <w:sz w:val="20"/>
          <w:szCs w:val="20"/>
        </w:rPr>
        <w:t>as</w:t>
      </w:r>
      <w:r w:rsidRPr="00A670A3">
        <w:rPr>
          <w:rFonts w:ascii="Times New Roman" w:hAnsi="Times New Roman" w:cs="Times New Roman"/>
          <w:i/>
          <w:sz w:val="20"/>
          <w:szCs w:val="20"/>
        </w:rPr>
        <w:t xml:space="preserve"> ar speciāl</w:t>
      </w:r>
      <w:r w:rsidR="00A670A3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A670A3">
        <w:rPr>
          <w:rFonts w:ascii="Times New Roman" w:hAnsi="Times New Roman" w:cs="Times New Roman"/>
          <w:i/>
          <w:sz w:val="20"/>
          <w:szCs w:val="20"/>
        </w:rPr>
        <w:t>dienesta pakāp</w:t>
      </w:r>
      <w:r w:rsidR="00A670A3">
        <w:rPr>
          <w:rFonts w:ascii="Times New Roman" w:hAnsi="Times New Roman" w:cs="Times New Roman"/>
          <w:i/>
          <w:sz w:val="20"/>
          <w:szCs w:val="20"/>
        </w:rPr>
        <w:t>i</w:t>
      </w:r>
      <w:r w:rsidRPr="00A670A3">
        <w:rPr>
          <w:rFonts w:ascii="Times New Roman" w:hAnsi="Times New Roman" w:cs="Times New Roman"/>
          <w:i/>
          <w:sz w:val="20"/>
          <w:szCs w:val="20"/>
        </w:rPr>
        <w:t xml:space="preserve"> dalību Eiropas Savienības </w:t>
      </w:r>
    </w:p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>novērošanas misijā Gruzijā (EUMM Georgia) un finanšu līdzekļu piešķiršanu</w:t>
      </w:r>
    </w:p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 xml:space="preserve"> no valsts budžeta programmas </w:t>
      </w:r>
      <w:r w:rsidR="00A670A3">
        <w:rPr>
          <w:rFonts w:ascii="Times New Roman" w:hAnsi="Times New Roman" w:cs="Times New Roman"/>
          <w:i/>
          <w:sz w:val="20"/>
          <w:szCs w:val="20"/>
        </w:rPr>
        <w:t>“</w:t>
      </w:r>
      <w:r w:rsidRPr="00A670A3">
        <w:rPr>
          <w:rFonts w:ascii="Times New Roman" w:hAnsi="Times New Roman" w:cs="Times New Roman"/>
          <w:i/>
          <w:sz w:val="20"/>
          <w:szCs w:val="20"/>
        </w:rPr>
        <w:t>Lī</w:t>
      </w:r>
      <w:r w:rsidR="00A670A3">
        <w:rPr>
          <w:rFonts w:ascii="Times New Roman" w:hAnsi="Times New Roman" w:cs="Times New Roman"/>
          <w:i/>
          <w:sz w:val="20"/>
          <w:szCs w:val="20"/>
        </w:rPr>
        <w:t>dzekļi neparedzētiem gadījumiem””</w:t>
      </w:r>
      <w:r w:rsidRPr="00A670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35CC3" w:rsidRPr="00A670A3" w:rsidRDefault="00835CC3" w:rsidP="0083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70A3">
        <w:rPr>
          <w:rFonts w:ascii="Times New Roman" w:hAnsi="Times New Roman" w:cs="Times New Roman"/>
          <w:i/>
          <w:sz w:val="20"/>
          <w:szCs w:val="20"/>
        </w:rPr>
        <w:t>sākotnējās ietekmes novērtējuma ziņojumam (anotācijai)</w:t>
      </w:r>
    </w:p>
    <w:p w:rsidR="00835CC3" w:rsidRDefault="00835CC3" w:rsidP="00835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C3" w:rsidRDefault="00835CC3" w:rsidP="0083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 xml:space="preserve">Izdevumu aprēķins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835CC3" w:rsidRPr="002D726A" w:rsidTr="00240AE9">
        <w:trPr>
          <w:trHeight w:val="403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A670A3" w:rsidRDefault="00835CC3" w:rsidP="008C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6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196E5F" w:rsidP="008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A36F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(1</w:t>
            </w:r>
            <w:r w:rsidR="00600E2D"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7</w:t>
            </w: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600E2D"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.2018.-</w:t>
            </w:r>
            <w:r w:rsidR="00B809A3"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31</w:t>
            </w: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</w:t>
            </w:r>
            <w:r w:rsidR="00B809A3"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12</w:t>
            </w:r>
            <w:r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.201</w:t>
            </w:r>
            <w:r w:rsidR="00B809A3" w:rsidRPr="00A3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8</w:t>
            </w:r>
            <w:r w:rsidR="008C6D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8C6D63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2018. gads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726F4A" w:rsidP="00D8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D85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7 139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8 570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60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ents piemaksas aprēķināšanai) x </w:t>
            </w:r>
            <w:r w:rsidR="00600E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mēneši+ (1422,87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x1,4:30d.x1</w:t>
            </w:r>
            <w:r w:rsidR="00600E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1 664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ED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ED06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6 906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1 664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D85F79" w:rsidP="007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6 996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0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1B0C0F" w:rsidRDefault="001B0C0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1B0C0F" w:rsidRDefault="001B0C0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brauciens x 570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570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 amatpersona = 570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</w:p>
          <w:p w:rsidR="00196E5F" w:rsidRPr="001B0C0F" w:rsidRDefault="001B0C0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x 1 amatpersona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30B48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5 033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2E1AA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0F" w:rsidRDefault="001B0C0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</w:t>
            </w:r>
            <w:r w:rsidR="00196E5F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196E5F" w:rsidRPr="00196E5F" w:rsidRDefault="001B0C0F" w:rsidP="005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85 </w:t>
            </w:r>
            <w:proofErr w:type="spellStart"/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mēnesī) x 3 mēneši +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(85 </w:t>
            </w:r>
            <w:r w:rsidRPr="001B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30d.x14d.)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2E1AA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51380E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4 738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4D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196E5F" w:rsidRPr="00196E5F" w:rsidRDefault="00100E4D" w:rsidP="0010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170,74 </w:t>
            </w:r>
            <w:proofErr w:type="spellStart"/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x1 amatpersona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171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6C645B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4 567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4D" w:rsidRDefault="00196E5F" w:rsidP="00B3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izdevumi:</w:t>
            </w:r>
          </w:p>
          <w:p w:rsidR="00196E5F" w:rsidRPr="00196E5F" w:rsidRDefault="00196E5F" w:rsidP="0010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gadā)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mēn.x</w:t>
            </w:r>
            <w:r w:rsidR="00B34E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+(15808,11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30d.x1</w:t>
            </w:r>
            <w:r w:rsidR="00B34E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005AF8" w:rsidRDefault="0002078B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005AF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1 392</w:t>
            </w:r>
          </w:p>
        </w:tc>
      </w:tr>
      <w:tr w:rsidR="00A506AB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AB" w:rsidRPr="00196E5F" w:rsidRDefault="00A506AB" w:rsidP="004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</w:t>
            </w:r>
            <w:r w:rsidR="00BE1B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 Izdevumi par precēm iestādes darbības nodrošināšanai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AB" w:rsidRPr="00005AF8" w:rsidRDefault="00697A97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668</w:t>
            </w:r>
          </w:p>
        </w:tc>
      </w:tr>
      <w:tr w:rsidR="00100E4D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Default="00100E4D" w:rsidP="0010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2313 Spectērpi - 668 </w:t>
            </w:r>
            <w:proofErr w:type="spellStart"/>
            <w:r w:rsidRPr="00100E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Default="00100E4D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668</w:t>
            </w:r>
          </w:p>
        </w:tc>
      </w:tr>
      <w:tr w:rsidR="00A506AB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AB" w:rsidRPr="00196E5F" w:rsidRDefault="00960485" w:rsidP="0096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2340 Zāles, ķimikālijas, laboratorijas preces, medicīniskās ierīces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AB" w:rsidRPr="00005AF8" w:rsidRDefault="00960485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100E4D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Default="00100E4D" w:rsidP="0096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2341 Pirmās medicīniskās palīdzības sniegšanai nepieciešamo medicīnisko materiālu soma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Default="00100E4D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BF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</w:t>
            </w:r>
            <w:r w:rsidR="000207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960485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9604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960485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pecifisk</w:t>
            </w:r>
            <w:r w:rsidR="009604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</w:t>
            </w:r>
            <w:r w:rsidR="00960485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materiāli un inventārs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005AF8" w:rsidRDefault="0064308C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689</w:t>
            </w:r>
          </w:p>
        </w:tc>
      </w:tr>
      <w:tr w:rsidR="00100E4D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Pr="00196E5F" w:rsidRDefault="00100E4D" w:rsidP="00BF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2389 Pārējie specifiskie lietošanas materiāli un inventārs - 689 </w:t>
            </w:r>
            <w:proofErr w:type="spellStart"/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100E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4D" w:rsidRDefault="00100E4D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689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D0272C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000 Pamatkapitāla veidošana</w:t>
            </w:r>
            <w:proofErr w:type="gramEnd"/>
            <w:r w:rsidR="00196E5F"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02078B" w:rsidRDefault="003B41AC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02078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1 573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D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5239 Pārējie iepriekš neklasificētie pamatlīdzekļi (1</w:t>
            </w:r>
            <w:r w:rsidR="00005A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573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F279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  <w:r w:rsidR="00005A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aizsarg</w:t>
            </w:r>
            <w:r w:rsidR="00005AF8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ķivere</w:t>
            </w:r>
            <w:r w:rsidR="00F279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u.c.</w:t>
            </w:r>
            <w:r w:rsidR="00005AF8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="00005A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</w:t>
            </w:r>
            <w:r w:rsid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B0C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02078B" w:rsidRDefault="003B41AC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0207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1 573</w:t>
            </w:r>
          </w:p>
        </w:tc>
      </w:tr>
    </w:tbl>
    <w:p w:rsidR="00534D0B" w:rsidRDefault="00534D0B">
      <w:r>
        <w:br w:type="page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938"/>
        <w:gridCol w:w="1129"/>
      </w:tblGrid>
      <w:tr w:rsidR="00534D0B" w:rsidRPr="00196E5F" w:rsidTr="00240AE9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4D0B" w:rsidRPr="00196E5F" w:rsidRDefault="00534D0B" w:rsidP="001B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4D0B" w:rsidRPr="00A670A3" w:rsidRDefault="00A670A3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6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196E5F" w:rsidP="00020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 (</w:t>
            </w:r>
            <w:r w:rsidR="008C6D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.0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.201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.-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16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09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.201</w:t>
            </w:r>
            <w:r w:rsidR="00020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02090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8C6D63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2019. gads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69203C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33 631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0824AE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21 093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55A47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16 998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55A47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16 998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5F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ents piemaksas aprēķināšanai) x </w:t>
            </w:r>
            <w:r w:rsidR="005F70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155A4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mēneši +(1422,87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x1,4:30d.x1</w:t>
            </w:r>
            <w:r w:rsidR="005F70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AF0655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4 095</w:t>
            </w:r>
          </w:p>
        </w:tc>
      </w:tr>
      <w:tr w:rsidR="00C052D5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AF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AF0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16 998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AF0655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4 095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69203C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12 538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  <w:p w:rsidR="00534D0B" w:rsidRPr="00534D0B" w:rsidRDefault="00534D0B" w:rsidP="005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  <w:p w:rsidR="00534D0B" w:rsidRPr="00534D0B" w:rsidRDefault="00534D0B" w:rsidP="005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</w:t>
            </w:r>
            <w:r w:rsidR="003962F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570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  <w:p w:rsidR="00534D0B" w:rsidRPr="00196E5F" w:rsidRDefault="00534D0B" w:rsidP="005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x 1 amatpersona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D50BD5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92371A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11 967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92371A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0B" w:rsidRDefault="00534D0B" w:rsidP="0019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</w:t>
            </w:r>
            <w:r w:rsidR="00196E5F"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t xml:space="preserve"> </w:t>
            </w:r>
          </w:p>
          <w:p w:rsidR="00196E5F" w:rsidRPr="00196E5F" w:rsidRDefault="00534D0B" w:rsidP="005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85 </w:t>
            </w:r>
            <w:proofErr w:type="spellStart"/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(vienai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amatpersonai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mēnesī) x 8 mēneši +(85 </w:t>
            </w:r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:30d.x16d.)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92371A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725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11 242</w:t>
            </w:r>
          </w:p>
        </w:tc>
      </w:tr>
      <w:tr w:rsidR="00196E5F" w:rsidRPr="00196E5F" w:rsidTr="00240AE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  <w:r w:rsid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  <w:p w:rsidR="00534D0B" w:rsidRPr="00196E5F" w:rsidRDefault="00534D0B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gadā):12mēn. x 8mēn.  +(15808,11</w:t>
            </w:r>
            <w:r w:rsidRPr="00534D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r w:rsidRPr="00534D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:12mēn.: 30d. x16d.)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196E5F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11 242</w:t>
            </w:r>
          </w:p>
        </w:tc>
      </w:tr>
    </w:tbl>
    <w:p w:rsidR="003F1CCD" w:rsidRDefault="003F1CCD"/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196E5F" w:rsidRPr="00196E5F" w:rsidTr="0002090F">
        <w:trPr>
          <w:trHeight w:val="300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21895" w:rsidRPr="00C21895" w:rsidRDefault="00C21895" w:rsidP="00534D0B">
      <w:pPr>
        <w:pStyle w:val="naisf"/>
        <w:ind w:firstLine="0"/>
      </w:pPr>
      <w:r w:rsidRPr="00C21895">
        <w:t>Iek</w:t>
      </w:r>
      <w:r w:rsidR="00534D0B">
        <w:t>šlietu ministrs</w:t>
      </w:r>
      <w:r w:rsidR="00534D0B">
        <w:tab/>
      </w:r>
      <w:r w:rsidR="00534D0B">
        <w:tab/>
      </w:r>
      <w:r w:rsidR="00534D0B">
        <w:tab/>
      </w:r>
      <w:r w:rsidR="00534D0B">
        <w:tab/>
      </w:r>
      <w:r w:rsidR="00534D0B">
        <w:tab/>
      </w:r>
      <w:r w:rsidR="00534D0B">
        <w:tab/>
      </w:r>
      <w:r w:rsidR="00534D0B">
        <w:tab/>
      </w:r>
      <w:r w:rsidRPr="00C21895">
        <w:t>Rihards Kozlovskis</w:t>
      </w:r>
    </w:p>
    <w:p w:rsidR="00C21895" w:rsidRPr="00C21895" w:rsidRDefault="00C21895" w:rsidP="00C21895">
      <w:pPr>
        <w:pStyle w:val="naisf"/>
        <w:ind w:firstLine="0"/>
      </w:pPr>
    </w:p>
    <w:p w:rsidR="003B41AC" w:rsidRPr="003B41AC" w:rsidRDefault="003B41AC" w:rsidP="00534D0B">
      <w:pPr>
        <w:pStyle w:val="naisf"/>
        <w:spacing w:before="0" w:after="0"/>
        <w:ind w:firstLine="0"/>
        <w:rPr>
          <w:color w:val="000000"/>
        </w:rPr>
      </w:pPr>
      <w:r w:rsidRPr="003B41AC">
        <w:rPr>
          <w:color w:val="000000"/>
        </w:rPr>
        <w:t>Vīza: valsts sekretār</w:t>
      </w:r>
      <w:r w:rsidR="007C6088">
        <w:rPr>
          <w:color w:val="000000"/>
        </w:rPr>
        <w:t>s</w:t>
      </w:r>
      <w:r w:rsidR="00534D0B">
        <w:rPr>
          <w:color w:val="000000"/>
        </w:rPr>
        <w:tab/>
      </w:r>
      <w:r w:rsidR="00534D0B">
        <w:rPr>
          <w:color w:val="000000"/>
        </w:rPr>
        <w:tab/>
      </w:r>
      <w:r w:rsidR="007C6088">
        <w:rPr>
          <w:color w:val="000000"/>
        </w:rPr>
        <w:tab/>
      </w:r>
      <w:r w:rsidR="007C6088">
        <w:rPr>
          <w:color w:val="000000"/>
        </w:rPr>
        <w:tab/>
      </w:r>
      <w:r w:rsidR="007C6088">
        <w:rPr>
          <w:color w:val="000000"/>
        </w:rPr>
        <w:tab/>
      </w:r>
      <w:r w:rsidR="007C6088">
        <w:rPr>
          <w:color w:val="000000"/>
        </w:rPr>
        <w:tab/>
      </w:r>
      <w:r w:rsidR="007C6088">
        <w:rPr>
          <w:color w:val="000000"/>
        </w:rPr>
        <w:tab/>
        <w:t>Dimitrijs</w:t>
      </w:r>
      <w:r w:rsidRPr="003B41AC">
        <w:rPr>
          <w:color w:val="000000"/>
        </w:rPr>
        <w:t xml:space="preserve"> </w:t>
      </w:r>
      <w:r w:rsidR="007C6088">
        <w:rPr>
          <w:color w:val="000000"/>
        </w:rPr>
        <w:t>Trofimovs</w:t>
      </w:r>
    </w:p>
    <w:p w:rsidR="003B41AC" w:rsidRPr="003B41AC" w:rsidRDefault="003B41AC" w:rsidP="003B41AC">
      <w:pPr>
        <w:jc w:val="both"/>
        <w:rPr>
          <w:color w:val="000000"/>
          <w:sz w:val="24"/>
          <w:szCs w:val="24"/>
        </w:rPr>
      </w:pP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7C6088">
        <w:rPr>
          <w:noProof/>
          <w:sz w:val="16"/>
          <w:szCs w:val="16"/>
          <w:lang w:val="ru-RU"/>
        </w:rPr>
        <w:t>20.08.2018 16:19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C21895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7C6088">
        <w:rPr>
          <w:rFonts w:eastAsiaTheme="minorHAnsi"/>
          <w:b w:val="0"/>
          <w:bCs w:val="0"/>
          <w:noProof/>
          <w:sz w:val="16"/>
          <w:szCs w:val="16"/>
        </w:rPr>
        <w:t>550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  <w:bookmarkStart w:id="0" w:name="_GoBack"/>
      <w:bookmarkEnd w:id="0"/>
    </w:p>
    <w:p w:rsidR="00C21895" w:rsidRPr="009E69BA" w:rsidRDefault="00C21895" w:rsidP="00C21895">
      <w:pPr>
        <w:pStyle w:val="BodyText"/>
        <w:jc w:val="left"/>
        <w:rPr>
          <w:b w:val="0"/>
          <w:sz w:val="16"/>
          <w:szCs w:val="16"/>
        </w:rPr>
      </w:pPr>
      <w:r w:rsidRPr="009E69BA">
        <w:rPr>
          <w:b w:val="0"/>
          <w:sz w:val="16"/>
          <w:szCs w:val="16"/>
        </w:rPr>
        <w:t>T.Černova, 67219608</w:t>
      </w:r>
    </w:p>
    <w:p w:rsidR="00196E5F" w:rsidRDefault="00D274F6" w:rsidP="004D5904">
      <w:pPr>
        <w:pStyle w:val="BodyText"/>
        <w:jc w:val="left"/>
      </w:pPr>
      <w:hyperlink r:id="rId6" w:history="1">
        <w:r w:rsidR="00C21895" w:rsidRPr="009E69BA">
          <w:rPr>
            <w:rStyle w:val="Hyperlink"/>
            <w:b w:val="0"/>
            <w:sz w:val="16"/>
            <w:szCs w:val="16"/>
          </w:rPr>
          <w:t>tatjana.cernova@iem.gov.lv</w:t>
        </w:r>
      </w:hyperlink>
    </w:p>
    <w:sectPr w:rsidR="00196E5F" w:rsidSect="008C6D63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F6" w:rsidRDefault="00D274F6" w:rsidP="004D5904">
      <w:pPr>
        <w:spacing w:after="0" w:line="240" w:lineRule="auto"/>
      </w:pPr>
      <w:r>
        <w:separator/>
      </w:r>
    </w:p>
  </w:endnote>
  <w:endnote w:type="continuationSeparator" w:id="0">
    <w:p w:rsidR="00D274F6" w:rsidRDefault="00D274F6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04" w:rsidRPr="00240AE9" w:rsidRDefault="005F707D">
    <w:pPr>
      <w:pStyle w:val="Footer"/>
      <w:rPr>
        <w:rFonts w:ascii="Times New Roman" w:hAnsi="Times New Roman" w:cs="Times New Roman"/>
        <w:i/>
        <w:sz w:val="20"/>
        <w:szCs w:val="20"/>
      </w:rPr>
    </w:pPr>
    <w:r w:rsidRPr="00240AE9">
      <w:rPr>
        <w:rFonts w:ascii="Times New Roman" w:hAnsi="Times New Roman" w:cs="Times New Roman"/>
        <w:i/>
        <w:sz w:val="20"/>
        <w:szCs w:val="20"/>
      </w:rPr>
      <w:fldChar w:fldCharType="begin"/>
    </w:r>
    <w:r w:rsidRPr="00240AE9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240AE9">
      <w:rPr>
        <w:rFonts w:ascii="Times New Roman" w:hAnsi="Times New Roman" w:cs="Times New Roman"/>
        <w:i/>
        <w:sz w:val="20"/>
        <w:szCs w:val="20"/>
      </w:rPr>
      <w:fldChar w:fldCharType="separate"/>
    </w:r>
    <w:r w:rsidR="003962FB">
      <w:rPr>
        <w:rFonts w:ascii="Times New Roman" w:hAnsi="Times New Roman" w:cs="Times New Roman"/>
        <w:i/>
        <w:noProof/>
        <w:sz w:val="20"/>
        <w:szCs w:val="20"/>
      </w:rPr>
      <w:t>IEManotp_130818_EUMM GEO</w:t>
    </w:r>
    <w:r w:rsidRPr="00240AE9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Pr="00534D0B" w:rsidRDefault="00534D0B">
    <w:pPr>
      <w:pStyle w:val="Footer"/>
      <w:rPr>
        <w:rFonts w:ascii="Times New Roman" w:hAnsi="Times New Roman" w:cs="Times New Roman"/>
        <w:i/>
        <w:sz w:val="20"/>
        <w:szCs w:val="20"/>
      </w:rPr>
    </w:pPr>
    <w:r w:rsidRPr="00534D0B">
      <w:rPr>
        <w:rFonts w:ascii="Times New Roman" w:hAnsi="Times New Roman" w:cs="Times New Roman"/>
        <w:i/>
        <w:sz w:val="20"/>
        <w:szCs w:val="20"/>
      </w:rPr>
      <w:fldChar w:fldCharType="begin"/>
    </w:r>
    <w:r w:rsidRPr="00534D0B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534D0B">
      <w:rPr>
        <w:rFonts w:ascii="Times New Roman" w:hAnsi="Times New Roman" w:cs="Times New Roman"/>
        <w:i/>
        <w:sz w:val="20"/>
        <w:szCs w:val="20"/>
      </w:rPr>
      <w:fldChar w:fldCharType="separate"/>
    </w:r>
    <w:r w:rsidR="003962FB">
      <w:rPr>
        <w:rFonts w:ascii="Times New Roman" w:hAnsi="Times New Roman" w:cs="Times New Roman"/>
        <w:i/>
        <w:noProof/>
        <w:sz w:val="20"/>
        <w:szCs w:val="20"/>
      </w:rPr>
      <w:t>IEManotp_130818_EUMM GEO</w:t>
    </w:r>
    <w:r w:rsidRPr="00534D0B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F6" w:rsidRDefault="00D274F6" w:rsidP="004D5904">
      <w:pPr>
        <w:spacing w:after="0" w:line="240" w:lineRule="auto"/>
      </w:pPr>
      <w:r>
        <w:separator/>
      </w:r>
    </w:p>
  </w:footnote>
  <w:footnote w:type="continuationSeparator" w:id="0">
    <w:p w:rsidR="00D274F6" w:rsidRDefault="00D274F6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7C6088">
          <w:rPr>
            <w:rFonts w:ascii="Times New Roman" w:hAnsi="Times New Roman" w:cs="Times New Roman"/>
            <w:noProof/>
          </w:rPr>
          <w:t>2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05AF8"/>
    <w:rsid w:val="0002078B"/>
    <w:rsid w:val="0002090F"/>
    <w:rsid w:val="00033610"/>
    <w:rsid w:val="000824AE"/>
    <w:rsid w:val="0008772B"/>
    <w:rsid w:val="000C07F5"/>
    <w:rsid w:val="00100E4D"/>
    <w:rsid w:val="00125941"/>
    <w:rsid w:val="00130B48"/>
    <w:rsid w:val="00154EC5"/>
    <w:rsid w:val="00155A47"/>
    <w:rsid w:val="001602C6"/>
    <w:rsid w:val="00196E5F"/>
    <w:rsid w:val="001B0C0F"/>
    <w:rsid w:val="001E6DD3"/>
    <w:rsid w:val="002118D4"/>
    <w:rsid w:val="00240AE9"/>
    <w:rsid w:val="002703EA"/>
    <w:rsid w:val="002E1AA0"/>
    <w:rsid w:val="0032189D"/>
    <w:rsid w:val="00391E90"/>
    <w:rsid w:val="003962FB"/>
    <w:rsid w:val="003A5DB9"/>
    <w:rsid w:val="003B41AC"/>
    <w:rsid w:val="003F1CCD"/>
    <w:rsid w:val="00403F1B"/>
    <w:rsid w:val="00426F8F"/>
    <w:rsid w:val="00445980"/>
    <w:rsid w:val="004D5904"/>
    <w:rsid w:val="00503871"/>
    <w:rsid w:val="0051380E"/>
    <w:rsid w:val="00524E21"/>
    <w:rsid w:val="00534D0B"/>
    <w:rsid w:val="005D6E30"/>
    <w:rsid w:val="005F66C3"/>
    <w:rsid w:val="005F707D"/>
    <w:rsid w:val="00600E2D"/>
    <w:rsid w:val="0064308C"/>
    <w:rsid w:val="0069203C"/>
    <w:rsid w:val="00697A97"/>
    <w:rsid w:val="006C645B"/>
    <w:rsid w:val="00716923"/>
    <w:rsid w:val="00722B01"/>
    <w:rsid w:val="00726F4A"/>
    <w:rsid w:val="00772310"/>
    <w:rsid w:val="007C6088"/>
    <w:rsid w:val="007F0321"/>
    <w:rsid w:val="00825D4B"/>
    <w:rsid w:val="00835CC3"/>
    <w:rsid w:val="008C6D63"/>
    <w:rsid w:val="0092371A"/>
    <w:rsid w:val="00960485"/>
    <w:rsid w:val="00A36FB1"/>
    <w:rsid w:val="00A506AB"/>
    <w:rsid w:val="00A62972"/>
    <w:rsid w:val="00A670A3"/>
    <w:rsid w:val="00A67CC1"/>
    <w:rsid w:val="00AA5DC5"/>
    <w:rsid w:val="00AF0655"/>
    <w:rsid w:val="00B34E8A"/>
    <w:rsid w:val="00B46968"/>
    <w:rsid w:val="00B809A3"/>
    <w:rsid w:val="00B974C9"/>
    <w:rsid w:val="00BE1B28"/>
    <w:rsid w:val="00BF0A34"/>
    <w:rsid w:val="00C052D5"/>
    <w:rsid w:val="00C21895"/>
    <w:rsid w:val="00D0272C"/>
    <w:rsid w:val="00D274F6"/>
    <w:rsid w:val="00D50BD5"/>
    <w:rsid w:val="00D607DC"/>
    <w:rsid w:val="00D85F79"/>
    <w:rsid w:val="00E027C7"/>
    <w:rsid w:val="00E4343F"/>
    <w:rsid w:val="00ED0610"/>
    <w:rsid w:val="00EE2629"/>
    <w:rsid w:val="00F06A53"/>
    <w:rsid w:val="00F27943"/>
    <w:rsid w:val="00F32E83"/>
    <w:rsid w:val="00FD5671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cernova@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3765</Characters>
  <Application>Microsoft Office Word</Application>
  <DocSecurity>0</DocSecurity>
  <Lines>156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5</cp:revision>
  <cp:lastPrinted>2018-08-13T09:21:00Z</cp:lastPrinted>
  <dcterms:created xsi:type="dcterms:W3CDTF">2018-08-13T09:09:00Z</dcterms:created>
  <dcterms:modified xsi:type="dcterms:W3CDTF">2018-08-20T13:20:00Z</dcterms:modified>
</cp:coreProperties>
</file>